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28A8" w14:textId="0B9ED8BB" w:rsidR="00D53A5B" w:rsidRDefault="00D53A5B" w:rsidP="00D53A5B">
      <w:r>
        <w:t xml:space="preserve">Subject:   </w:t>
      </w:r>
      <w:r>
        <w:tab/>
        <w:t xml:space="preserve">New sign-in experience coming for </w:t>
      </w:r>
      <w:proofErr w:type="spellStart"/>
      <w:r>
        <w:t>NetClient</w:t>
      </w:r>
      <w:proofErr w:type="spellEnd"/>
      <w:r>
        <w:t xml:space="preserve"> CS in November 2023 </w:t>
      </w:r>
    </w:p>
    <w:p w14:paraId="7EB6802E" w14:textId="1EF5BC7D" w:rsidR="00D53A5B" w:rsidRDefault="00D53A5B" w:rsidP="00D53A5B">
      <w:r>
        <w:t xml:space="preserve">Sent:  </w:t>
      </w:r>
      <w:r>
        <w:tab/>
        <w:t xml:space="preserve"> </w:t>
      </w:r>
      <w:r>
        <w:tab/>
        <w:t>October 18</w:t>
      </w:r>
      <w:r>
        <w:rPr>
          <w:vertAlign w:val="superscript"/>
        </w:rPr>
        <w:t>th</w:t>
      </w:r>
      <w:r>
        <w:t xml:space="preserve">, 2023 </w:t>
      </w:r>
    </w:p>
    <w:p w14:paraId="3A606C08" w14:textId="77777777" w:rsidR="00D53A5B" w:rsidRDefault="00D53A5B" w:rsidP="00D53A5B">
      <w:pPr>
        <w:spacing w:after="160" w:line="259" w:lineRule="auto"/>
        <w:ind w:left="0" w:firstLine="0"/>
      </w:pPr>
      <w:r>
        <w:rPr>
          <w:b/>
        </w:rPr>
        <w:t xml:space="preserve">___________________________________________________________________________________ </w:t>
      </w:r>
    </w:p>
    <w:p w14:paraId="365DD51D" w14:textId="77777777" w:rsidR="00D53A5B" w:rsidRDefault="00D53A5B" w:rsidP="00D53A5B">
      <w:r>
        <w:t>This is a follow-up to the ‘</w:t>
      </w:r>
      <w:hyperlink r:id="rId7" w:history="1">
        <w:r>
          <w:rPr>
            <w:rStyle w:val="Hyperlink"/>
            <w:i/>
          </w:rPr>
          <w:t>'New sign-in experience coming in November 2023’</w:t>
        </w:r>
      </w:hyperlink>
      <w:r>
        <w:rPr>
          <w:i/>
          <w:color w:val="000000" w:themeColor="text1"/>
        </w:rPr>
        <w:t>’</w:t>
      </w:r>
      <w:r w:rsidRPr="5D913010">
        <w:t xml:space="preserve"> communication s</w:t>
      </w:r>
      <w:r>
        <w:t xml:space="preserve">ent on Monday, October 9. That e-mail included resources to help your firm’s staff prepare for the upcoming change; however, the update will also benefit your </w:t>
      </w:r>
      <w:proofErr w:type="spellStart"/>
      <w:r>
        <w:t>NetClient</w:t>
      </w:r>
      <w:proofErr w:type="spellEnd"/>
      <w:r>
        <w:t xml:space="preserve"> CS customer base.  </w:t>
      </w:r>
    </w:p>
    <w:p w14:paraId="48C5842A" w14:textId="77777777" w:rsidR="00D53A5B" w:rsidRDefault="00D53A5B" w:rsidP="00D53A5B">
      <w:r>
        <w:t xml:space="preserve">To assist your firm in communicating these scheduled changes with your </w:t>
      </w:r>
      <w:proofErr w:type="spellStart"/>
      <w:r>
        <w:t>NetClient</w:t>
      </w:r>
      <w:proofErr w:type="spellEnd"/>
      <w:r>
        <w:t xml:space="preserve"> CS customer base, we have created e-mail templates and videos that can be shared with your clients.</w:t>
      </w:r>
    </w:p>
    <w:p w14:paraId="5C6C15CC" w14:textId="77777777" w:rsidR="00D53A5B" w:rsidRPr="007B7549" w:rsidRDefault="002F7E8D" w:rsidP="00D53A5B">
      <w:pPr>
        <w:pStyle w:val="ListParagraph"/>
        <w:numPr>
          <w:ilvl w:val="0"/>
          <w:numId w:val="1"/>
        </w:numPr>
        <w:rPr>
          <w:rStyle w:val="Hyperlink"/>
          <w:color w:val="auto"/>
        </w:rPr>
      </w:pPr>
      <w:hyperlink r:id="rId8" w:tgtFrame="_blank" w:history="1">
        <w:proofErr w:type="spellStart"/>
        <w:r w:rsidR="00D53A5B" w:rsidRPr="00E38A3F">
          <w:rPr>
            <w:rStyle w:val="Hyperlink"/>
            <w:color w:val="005DA2"/>
          </w:rPr>
          <w:t>NetClient</w:t>
        </w:r>
        <w:proofErr w:type="spellEnd"/>
        <w:r w:rsidR="00D53A5B" w:rsidRPr="00E38A3F">
          <w:rPr>
            <w:rStyle w:val="Hyperlink"/>
            <w:color w:val="005DA2"/>
          </w:rPr>
          <w:t xml:space="preserve"> Communication Template</w:t>
        </w:r>
      </w:hyperlink>
    </w:p>
    <w:p w14:paraId="398D2B72" w14:textId="77777777" w:rsidR="00D53A5B" w:rsidRPr="007B7549" w:rsidRDefault="002F7E8D" w:rsidP="00D53A5B">
      <w:pPr>
        <w:pStyle w:val="ListParagraph"/>
        <w:numPr>
          <w:ilvl w:val="0"/>
          <w:numId w:val="1"/>
        </w:numPr>
        <w:rPr>
          <w:rStyle w:val="Hyperlink"/>
          <w:rFonts w:cstheme="minorHAnsi"/>
          <w:color w:val="auto"/>
        </w:rPr>
      </w:pPr>
      <w:hyperlink r:id="rId9" w:tgtFrame="_blank" w:history="1">
        <w:proofErr w:type="spellStart"/>
        <w:r w:rsidR="00D53A5B" w:rsidRPr="009654F8">
          <w:rPr>
            <w:rStyle w:val="Hyperlink"/>
            <w:rFonts w:cstheme="minorHAnsi"/>
            <w:color w:val="005DA2"/>
          </w:rPr>
          <w:t>NetClient</w:t>
        </w:r>
        <w:proofErr w:type="spellEnd"/>
        <w:r w:rsidR="00D53A5B" w:rsidRPr="009654F8">
          <w:rPr>
            <w:rStyle w:val="Hyperlink"/>
            <w:rFonts w:cstheme="minorHAnsi"/>
            <w:color w:val="005DA2"/>
          </w:rPr>
          <w:t xml:space="preserve"> and Onvio Client Center Communication Template</w:t>
        </w:r>
      </w:hyperlink>
    </w:p>
    <w:p w14:paraId="77C8834F" w14:textId="77777777" w:rsidR="00D53A5B" w:rsidRPr="007B7549" w:rsidRDefault="002F7E8D" w:rsidP="00D53A5B">
      <w:pPr>
        <w:pStyle w:val="ListParagraph"/>
        <w:numPr>
          <w:ilvl w:val="0"/>
          <w:numId w:val="1"/>
        </w:numPr>
        <w:rPr>
          <w:rStyle w:val="Hyperlink"/>
          <w:rFonts w:cstheme="minorHAnsi"/>
          <w:color w:val="auto"/>
        </w:rPr>
      </w:pPr>
      <w:hyperlink r:id="rId10" w:tgtFrame="_blank" w:history="1">
        <w:r w:rsidR="00D53A5B" w:rsidRPr="005550A3">
          <w:rPr>
            <w:rStyle w:val="Hyperlink"/>
            <w:rFonts w:cstheme="minorHAnsi"/>
            <w:color w:val="005DA2"/>
          </w:rPr>
          <w:t xml:space="preserve">Migrating your </w:t>
        </w:r>
        <w:proofErr w:type="spellStart"/>
        <w:r w:rsidR="00D53A5B" w:rsidRPr="005550A3">
          <w:rPr>
            <w:rStyle w:val="Hyperlink"/>
            <w:rFonts w:cstheme="minorHAnsi"/>
            <w:color w:val="005DA2"/>
          </w:rPr>
          <w:t>NetClient</w:t>
        </w:r>
        <w:proofErr w:type="spellEnd"/>
        <w:r w:rsidR="00D53A5B" w:rsidRPr="005550A3">
          <w:rPr>
            <w:rStyle w:val="Hyperlink"/>
            <w:rFonts w:cstheme="minorHAnsi"/>
            <w:color w:val="005DA2"/>
          </w:rPr>
          <w:t xml:space="preserve"> account video</w:t>
        </w:r>
      </w:hyperlink>
    </w:p>
    <w:p w14:paraId="6262782A" w14:textId="77777777" w:rsidR="00D53A5B" w:rsidRPr="007B7549" w:rsidRDefault="002F7E8D" w:rsidP="00D53A5B">
      <w:pPr>
        <w:pStyle w:val="ListParagraph"/>
        <w:numPr>
          <w:ilvl w:val="0"/>
          <w:numId w:val="1"/>
        </w:numPr>
        <w:rPr>
          <w:rStyle w:val="Hyperlink"/>
          <w:color w:val="auto"/>
        </w:rPr>
      </w:pPr>
      <w:hyperlink r:id="rId11" w:tgtFrame="_blank" w:history="1">
        <w:r w:rsidR="00D53A5B" w:rsidRPr="00E38A3F">
          <w:rPr>
            <w:rStyle w:val="Hyperlink"/>
            <w:color w:val="005DA2"/>
          </w:rPr>
          <w:t xml:space="preserve">Migrating your </w:t>
        </w:r>
        <w:proofErr w:type="spellStart"/>
        <w:r w:rsidR="00D53A5B" w:rsidRPr="00E38A3F">
          <w:rPr>
            <w:rStyle w:val="Hyperlink"/>
            <w:color w:val="005DA2"/>
          </w:rPr>
          <w:t>NetClient</w:t>
        </w:r>
        <w:proofErr w:type="spellEnd"/>
        <w:r w:rsidR="00D53A5B" w:rsidRPr="00E38A3F">
          <w:rPr>
            <w:rStyle w:val="Hyperlink"/>
            <w:color w:val="005DA2"/>
          </w:rPr>
          <w:t xml:space="preserve"> account when you have an existing Onvio Client Center account video</w:t>
        </w:r>
      </w:hyperlink>
    </w:p>
    <w:p w14:paraId="76A8D6DF" w14:textId="77777777" w:rsidR="00D53A5B" w:rsidRDefault="00D53A5B" w:rsidP="00D53A5B">
      <w:r>
        <w:t xml:space="preserve">To best prepare for the questions you might receive, we recommend your firm’s </w:t>
      </w:r>
      <w:proofErr w:type="spellStart"/>
      <w:r>
        <w:t>NetFirm</w:t>
      </w:r>
      <w:proofErr w:type="spellEnd"/>
      <w:r>
        <w:t xml:space="preserve"> Admin print the User Accounts report which includes login and name details for every account.  </w:t>
      </w:r>
    </w:p>
    <w:p w14:paraId="46480D44" w14:textId="77777777" w:rsidR="00D53A5B" w:rsidRDefault="00D53A5B" w:rsidP="00D53A5B">
      <w:pPr>
        <w:rPr>
          <w:rStyle w:val="cf01"/>
        </w:rPr>
      </w:pPr>
      <w:r w:rsidRPr="00DF24EC">
        <w:rPr>
          <w:rStyle w:val="cf01"/>
          <w:rFonts w:asciiTheme="minorHAnsi" w:eastAsiaTheme="minorEastAsia" w:hAnsiTheme="minorHAnsi" w:cstheme="minorBidi"/>
        </w:rPr>
        <w:t xml:space="preserve">To stay up to date on the latest information and required action steps, please visit </w:t>
      </w:r>
      <w:hyperlink r:id="rId12">
        <w:r w:rsidRPr="00DF24EC">
          <w:rPr>
            <w:rStyle w:val="Hyperlink"/>
            <w:rFonts w:eastAsiaTheme="minorEastAsia"/>
          </w:rPr>
          <w:t>Prepare Now to upgrade to the Thomson Reuters Account</w:t>
        </w:r>
      </w:hyperlink>
      <w:r w:rsidRPr="00DF24EC">
        <w:rPr>
          <w:rStyle w:val="cf01"/>
          <w:rFonts w:asciiTheme="minorHAnsi" w:eastAsiaTheme="minorEastAsia" w:hAnsiTheme="minorHAnsi" w:cstheme="minorBidi"/>
        </w:rPr>
        <w:t>.</w:t>
      </w:r>
      <w:r>
        <w:br/>
      </w:r>
    </w:p>
    <w:p w14:paraId="5531C50A" w14:textId="77777777" w:rsidR="00D53A5B" w:rsidRDefault="00D53A5B" w:rsidP="00D53A5B">
      <w:pPr>
        <w:rPr>
          <w:color w:val="000000" w:themeColor="text1"/>
        </w:rPr>
      </w:pPr>
      <w:r w:rsidRPr="5D913010">
        <w:rPr>
          <w:color w:val="000000" w:themeColor="text1"/>
        </w:rPr>
        <w:t>Regards,</w:t>
      </w:r>
    </w:p>
    <w:p w14:paraId="3079F9D3" w14:textId="6BA3F9AD" w:rsidR="00D53A5B" w:rsidRDefault="00D53A5B" w:rsidP="00D53A5B">
      <w:pPr>
        <w:rPr>
          <w:color w:val="000000" w:themeColor="text1"/>
        </w:rPr>
      </w:pPr>
      <w:r w:rsidRPr="5D913010">
        <w:rPr>
          <w:color w:val="000000" w:themeColor="text1"/>
        </w:rPr>
        <w:t> Piritta van Rijn</w:t>
      </w:r>
    </w:p>
    <w:p w14:paraId="5271E972" w14:textId="77777777" w:rsidR="00D53A5B" w:rsidRDefault="00D53A5B" w:rsidP="00D53A5B">
      <w:pPr>
        <w:rPr>
          <w:color w:val="000000" w:themeColor="text1"/>
        </w:rPr>
      </w:pPr>
      <w:r w:rsidRPr="5D913010">
        <w:rPr>
          <w:color w:val="000000" w:themeColor="text1"/>
        </w:rPr>
        <w:t>Head of Product, Accounting, Tax &amp; Practice</w:t>
      </w:r>
    </w:p>
    <w:p w14:paraId="7715936D" w14:textId="77777777" w:rsidR="00D53A5B" w:rsidRDefault="00D53A5B" w:rsidP="00D53A5B">
      <w:pPr>
        <w:rPr>
          <w:color w:val="000000" w:themeColor="text1"/>
        </w:rPr>
      </w:pPr>
      <w:r w:rsidRPr="5D913010">
        <w:rPr>
          <w:color w:val="000000" w:themeColor="text1"/>
        </w:rPr>
        <w:t>Tax &amp; Accounting Professionals</w:t>
      </w:r>
    </w:p>
    <w:p w14:paraId="4AE4C684" w14:textId="11C5B4B6" w:rsidR="003F2FB8" w:rsidRDefault="00D53A5B" w:rsidP="00D53A5B">
      <w:r w:rsidRPr="5D913010">
        <w:rPr>
          <w:rFonts w:ascii="Arial" w:eastAsia="Arial" w:hAnsi="Arial" w:cs="Arial"/>
          <w:color w:val="FA6401"/>
          <w:sz w:val="18"/>
          <w:szCs w:val="18"/>
        </w:rPr>
        <w:t>Thomson Reuters</w:t>
      </w:r>
    </w:p>
    <w:sectPr w:rsidR="003F2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90A57" w14:textId="77777777" w:rsidR="002F7E8D" w:rsidRDefault="002F7E8D" w:rsidP="002F7E8D">
      <w:pPr>
        <w:spacing w:after="0" w:line="240" w:lineRule="auto"/>
      </w:pPr>
      <w:r>
        <w:separator/>
      </w:r>
    </w:p>
  </w:endnote>
  <w:endnote w:type="continuationSeparator" w:id="0">
    <w:p w14:paraId="75EE31C6" w14:textId="77777777" w:rsidR="002F7E8D" w:rsidRDefault="002F7E8D" w:rsidP="002F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19FB2" w14:textId="77777777" w:rsidR="002F7E8D" w:rsidRDefault="002F7E8D" w:rsidP="002F7E8D">
      <w:pPr>
        <w:spacing w:after="0" w:line="240" w:lineRule="auto"/>
      </w:pPr>
      <w:r>
        <w:separator/>
      </w:r>
    </w:p>
  </w:footnote>
  <w:footnote w:type="continuationSeparator" w:id="0">
    <w:p w14:paraId="247CC5E3" w14:textId="77777777" w:rsidR="002F7E8D" w:rsidRDefault="002F7E8D" w:rsidP="002F7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61C02"/>
    <w:multiLevelType w:val="hybridMultilevel"/>
    <w:tmpl w:val="4AE82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438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y18oOM0smv1jHi3i134F2gjAVcSBRPESIi5fZfm4370uhS+sjAXrl3WqSm2xjKDWRg6mJCh8t7m45+O0PYCchQ==" w:salt="YnsAhXnR7g6pFVuY1+6pv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5B"/>
    <w:rsid w:val="002F7E8D"/>
    <w:rsid w:val="003F2FB8"/>
    <w:rsid w:val="008641C4"/>
    <w:rsid w:val="00D53A5B"/>
    <w:rsid w:val="00D9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17F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5B"/>
    <w:pPr>
      <w:spacing w:after="164" w:line="255" w:lineRule="auto"/>
      <w:ind w:left="10" w:hanging="10"/>
    </w:pPr>
    <w:rPr>
      <w:rFonts w:ascii="Calibri" w:eastAsia="Calibri" w:hAnsi="Calibri" w:cs="Calibri"/>
      <w:color w:val="00000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3A5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3A5B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0"/>
      <w:lang w:val="en-US" w:eastAsia="en-US"/>
      <w14:ligatures w14:val="none"/>
    </w:rPr>
  </w:style>
  <w:style w:type="character" w:customStyle="1" w:styleId="cf01">
    <w:name w:val="cf01"/>
    <w:basedOn w:val="DefaultParagraphFont"/>
    <w:rsid w:val="00D53A5B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7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E8D"/>
    <w:rPr>
      <w:rFonts w:ascii="Calibri" w:eastAsia="Calibri" w:hAnsi="Calibri" w:cs="Calibri"/>
      <w:color w:val="00000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F7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E8D"/>
    <w:rPr>
      <w:rFonts w:ascii="Calibri" w:eastAsia="Calibri" w:hAnsi="Calibri" w:cs="Calibri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omsonreuters.com/content/dam/helpandsupp/en-us/gofileroom/files/netclient-communication-template.zi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homsonreuters.com/content/dam/helpandsupp/en-us/gofileroom/files/new-sign-in-experience-coming-nov-2023-email-oct-9-23.zip" TargetMode="External"/><Relationship Id="rId12" Type="http://schemas.openxmlformats.org/officeDocument/2006/relationships/hyperlink" Target="https://www.thomsonreuters.com/en-us/help/account-management/thomson-reuters-account-upgra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.tax.thomsonreuters.com/watch/8o4h3H6qpb9UGUjEyBKNs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ideo.tax.thomsonreuters.com/watch/bLMUEU7c569TzFffa916H2?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homsonreuters.com/content/dam/helpandsupp/en-us/gofileroom/files/netclient-and-onvio-client-center-communication-template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8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2023-10-19T09:54:00Z</dcterms:created>
  <dcterms:modified xsi:type="dcterms:W3CDTF">2023-10-19T09:55:00Z</dcterms:modified>
</cp:coreProperties>
</file>