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2048F" w14:textId="77777777" w:rsidR="0044290C" w:rsidRDefault="00000000">
      <w:pPr>
        <w:tabs>
          <w:tab w:val="center" w:pos="3684"/>
        </w:tabs>
        <w:ind w:left="-15" w:firstLine="0"/>
      </w:pPr>
      <w:r>
        <w:t xml:space="preserve">Subject:   </w:t>
      </w:r>
      <w:r>
        <w:tab/>
        <w:t xml:space="preserve">New sign-in experience coming in November 2023 </w:t>
      </w:r>
    </w:p>
    <w:p w14:paraId="67C5BFD5" w14:textId="77777777" w:rsidR="0044290C" w:rsidRDefault="00000000">
      <w:pPr>
        <w:tabs>
          <w:tab w:val="center" w:pos="720"/>
          <w:tab w:val="center" w:pos="2219"/>
        </w:tabs>
        <w:ind w:left="-15" w:firstLine="0"/>
      </w:pPr>
      <w:r>
        <w:t xml:space="preserve">Sent:  </w:t>
      </w:r>
      <w:r>
        <w:tab/>
        <w:t xml:space="preserve"> </w:t>
      </w:r>
      <w:r>
        <w:tab/>
        <w:t>October 9</w:t>
      </w:r>
      <w:r>
        <w:rPr>
          <w:vertAlign w:val="superscript"/>
        </w:rPr>
        <w:t>th</w:t>
      </w:r>
      <w:r>
        <w:t xml:space="preserve">, 2023 </w:t>
      </w:r>
    </w:p>
    <w:p w14:paraId="285D3F13" w14:textId="77777777" w:rsidR="0044290C" w:rsidRDefault="00000000">
      <w:pPr>
        <w:spacing w:after="160" w:line="259" w:lineRule="auto"/>
        <w:ind w:left="0" w:firstLine="0"/>
      </w:pPr>
      <w:r>
        <w:rPr>
          <w:b/>
        </w:rPr>
        <w:t xml:space="preserve">___________________________________________________________________________________ </w:t>
      </w:r>
    </w:p>
    <w:p w14:paraId="1C497693" w14:textId="77777777" w:rsidR="0044290C" w:rsidRDefault="00000000">
      <w:pPr>
        <w:spacing w:after="160" w:line="259" w:lineRule="auto"/>
        <w:ind w:left="0" w:firstLine="0"/>
      </w:pPr>
      <w:r>
        <w:rPr>
          <w:b/>
        </w:rPr>
        <w:t xml:space="preserve"> </w:t>
      </w:r>
    </w:p>
    <w:p w14:paraId="4956A17F" w14:textId="77777777" w:rsidR="0044290C" w:rsidRDefault="00000000">
      <w:pPr>
        <w:ind w:left="-5"/>
      </w:pPr>
      <w:r>
        <w:t xml:space="preserve">Hello, &lt;customer first name&gt;. </w:t>
      </w:r>
    </w:p>
    <w:p w14:paraId="1B7E528A" w14:textId="77777777" w:rsidR="0044290C" w:rsidRDefault="00000000">
      <w:pPr>
        <w:spacing w:after="156" w:line="259" w:lineRule="auto"/>
        <w:ind w:left="0" w:firstLine="0"/>
      </w:pPr>
      <w:r>
        <w:t xml:space="preserve">We’ve been working hard to make your Thomson Reuters sign-in experience easier and more secure.  </w:t>
      </w:r>
    </w:p>
    <w:p w14:paraId="583143F6" w14:textId="77777777" w:rsidR="0044290C" w:rsidRDefault="00000000">
      <w:pPr>
        <w:ind w:left="-5"/>
      </w:pPr>
      <w:r>
        <w:t xml:space="preserve">We’re excited to share the added productivity this new experience will bring to your staff. The enhancements will impact most of the Thomson Reuters Tax and Accounting applications including UltraTax CS and the CS Professional Suite, Virtual Office CS, Software-as-a-Service (SaaS), GoFileRoom, AdvanceFlow, Checkpoint Engage and </w:t>
      </w:r>
      <w:proofErr w:type="spellStart"/>
      <w:r>
        <w:t>NetClient</w:t>
      </w:r>
      <w:proofErr w:type="spellEnd"/>
      <w:r>
        <w:t xml:space="preserve"> CS.  </w:t>
      </w:r>
    </w:p>
    <w:p w14:paraId="7509074F" w14:textId="77777777" w:rsidR="0044290C" w:rsidRDefault="00000000">
      <w:pPr>
        <w:spacing w:after="199"/>
        <w:ind w:left="-5"/>
      </w:pPr>
      <w:r>
        <w:t xml:space="preserve">To make the update as smooth as possible for you and your firm, we wanted to let you know what to expect before the changes currently scheduled to take place on November 3, 2023. </w:t>
      </w:r>
    </w:p>
    <w:p w14:paraId="766A64D2" w14:textId="77777777" w:rsidR="0044290C" w:rsidRDefault="00000000">
      <w:pPr>
        <w:numPr>
          <w:ilvl w:val="0"/>
          <w:numId w:val="1"/>
        </w:numPr>
        <w:spacing w:after="27"/>
        <w:ind w:hanging="360"/>
      </w:pPr>
      <w:hyperlink r:id="rId7">
        <w:r>
          <w:rPr>
            <w:b/>
            <w:color w:val="4472C4"/>
            <w:u w:val="single" w:color="4472C4"/>
          </w:rPr>
          <w:t>An easier</w:t>
        </w:r>
      </w:hyperlink>
      <w:hyperlink r:id="rId8">
        <w:r>
          <w:rPr>
            <w:b/>
            <w:color w:val="4472C4"/>
            <w:u w:val="single" w:color="4472C4"/>
          </w:rPr>
          <w:t>-</w:t>
        </w:r>
      </w:hyperlink>
      <w:hyperlink r:id="rId9">
        <w:r>
          <w:rPr>
            <w:b/>
            <w:color w:val="4472C4"/>
            <w:u w:val="single" w:color="4472C4"/>
          </w:rPr>
          <w:t>to</w:t>
        </w:r>
      </w:hyperlink>
      <w:hyperlink r:id="rId10">
        <w:r>
          <w:rPr>
            <w:b/>
            <w:color w:val="4472C4"/>
            <w:u w:val="single" w:color="4472C4"/>
          </w:rPr>
          <w:t>-</w:t>
        </w:r>
      </w:hyperlink>
      <w:hyperlink r:id="rId11">
        <w:r>
          <w:rPr>
            <w:b/>
            <w:color w:val="4472C4"/>
            <w:u w:val="single" w:color="4472C4"/>
          </w:rPr>
          <w:t>use</w:t>
        </w:r>
      </w:hyperlink>
      <w:hyperlink r:id="rId12">
        <w:r>
          <w:rPr>
            <w:b/>
            <w:color w:val="4472C4"/>
            <w:u w:val="single" w:color="4472C4"/>
          </w:rPr>
          <w:t xml:space="preserve"> </w:t>
        </w:r>
      </w:hyperlink>
      <w:hyperlink r:id="rId13">
        <w:r>
          <w:rPr>
            <w:b/>
            <w:color w:val="4472C4"/>
            <w:u w:val="single" w:color="4472C4"/>
          </w:rPr>
          <w:t>multi</w:t>
        </w:r>
      </w:hyperlink>
      <w:hyperlink r:id="rId14">
        <w:r>
          <w:rPr>
            <w:b/>
            <w:color w:val="4472C4"/>
            <w:u w:val="single" w:color="4472C4"/>
          </w:rPr>
          <w:t>-</w:t>
        </w:r>
      </w:hyperlink>
      <w:hyperlink r:id="rId15">
        <w:r>
          <w:rPr>
            <w:b/>
            <w:color w:val="4472C4"/>
            <w:u w:val="single" w:color="4472C4"/>
          </w:rPr>
          <w:t>factor authentication system called two</w:t>
        </w:r>
      </w:hyperlink>
      <w:hyperlink r:id="rId16">
        <w:r>
          <w:rPr>
            <w:b/>
            <w:color w:val="4472C4"/>
            <w:u w:val="single" w:color="4472C4"/>
          </w:rPr>
          <w:t>-</w:t>
        </w:r>
      </w:hyperlink>
      <w:hyperlink r:id="rId17">
        <w:r>
          <w:rPr>
            <w:b/>
            <w:color w:val="4472C4"/>
            <w:u w:val="single" w:color="4472C4"/>
          </w:rPr>
          <w:t>factor authentication</w:t>
        </w:r>
      </w:hyperlink>
      <w:hyperlink r:id="rId18">
        <w:r>
          <w:t xml:space="preserve"> </w:t>
        </w:r>
      </w:hyperlink>
      <w:r>
        <w:t xml:space="preserve">that further enhances security. We’re adding new and easier options, like phone calls, text messages, e-mails, biometric and hardware tokens, and </w:t>
      </w:r>
      <w:hyperlink r:id="rId19">
        <w:r>
          <w:rPr>
            <w:color w:val="4472C4"/>
            <w:u w:val="single" w:color="4472C4"/>
          </w:rPr>
          <w:t>partnering with Auth0</w:t>
        </w:r>
      </w:hyperlink>
      <w:hyperlink r:id="rId20">
        <w:r>
          <w:t xml:space="preserve"> </w:t>
        </w:r>
      </w:hyperlink>
      <w:r>
        <w:t xml:space="preserve">for our preferred mobile app.  </w:t>
      </w:r>
    </w:p>
    <w:p w14:paraId="6AAAC7B2" w14:textId="77777777" w:rsidR="0044290C" w:rsidRDefault="00000000">
      <w:pPr>
        <w:numPr>
          <w:ilvl w:val="0"/>
          <w:numId w:val="1"/>
        </w:numPr>
        <w:spacing w:after="31"/>
        <w:ind w:hanging="360"/>
      </w:pPr>
      <w:hyperlink r:id="rId21">
        <w:r>
          <w:rPr>
            <w:b/>
            <w:color w:val="4472C4"/>
            <w:u w:val="single" w:color="4472C4"/>
          </w:rPr>
          <w:t>A simplified sign</w:t>
        </w:r>
      </w:hyperlink>
      <w:hyperlink r:id="rId22">
        <w:r>
          <w:rPr>
            <w:b/>
            <w:color w:val="4472C4"/>
            <w:u w:val="single" w:color="4472C4"/>
          </w:rPr>
          <w:t>-</w:t>
        </w:r>
      </w:hyperlink>
      <w:hyperlink r:id="rId23">
        <w:r>
          <w:rPr>
            <w:b/>
            <w:color w:val="4472C4"/>
            <w:u w:val="single" w:color="4472C4"/>
          </w:rPr>
          <w:t>in</w:t>
        </w:r>
      </w:hyperlink>
      <w:hyperlink r:id="rId24">
        <w:r>
          <w:rPr>
            <w:b/>
            <w:color w:val="4472C4"/>
            <w:u w:val="single" w:color="4472C4"/>
          </w:rPr>
          <w:t xml:space="preserve"> </w:t>
        </w:r>
      </w:hyperlink>
      <w:hyperlink r:id="rId25">
        <w:r>
          <w:rPr>
            <w:b/>
            <w:color w:val="4472C4"/>
            <w:u w:val="single" w:color="4472C4"/>
          </w:rPr>
          <w:t>experience</w:t>
        </w:r>
      </w:hyperlink>
      <w:hyperlink r:id="rId26">
        <w:r>
          <w:rPr>
            <w:b/>
          </w:rPr>
          <w:t>.</w:t>
        </w:r>
      </w:hyperlink>
      <w:r>
        <w:t xml:space="preserve"> You’ll only need one e-mail and one password to access your products and online account. Additionally, all Thomson Reuters account related e-mail notifications will come from the same sender address: access.info@thomsonreuters.com. </w:t>
      </w:r>
    </w:p>
    <w:p w14:paraId="34BBD7CC" w14:textId="77777777" w:rsidR="0044290C" w:rsidRDefault="00000000">
      <w:pPr>
        <w:numPr>
          <w:ilvl w:val="0"/>
          <w:numId w:val="1"/>
        </w:numPr>
        <w:spacing w:after="32"/>
        <w:ind w:hanging="360"/>
      </w:pPr>
      <w:r>
        <w:t xml:space="preserve">Increased security for you and your customers. Two-factor authentication will be required for all users, both staff and clients. Moreover, passwords will no longer expire after 90 days. </w:t>
      </w:r>
    </w:p>
    <w:p w14:paraId="255288AC" w14:textId="77777777" w:rsidR="0044290C" w:rsidRDefault="00000000">
      <w:pPr>
        <w:numPr>
          <w:ilvl w:val="0"/>
          <w:numId w:val="1"/>
        </w:numPr>
        <w:spacing w:after="0"/>
        <w:ind w:hanging="360"/>
      </w:pPr>
      <w:r>
        <w:t xml:space="preserve">No more authentication cards. The Thomson Reuters Authenticator Cards have been discontinued and new two-factor authentication options are being added.  </w:t>
      </w:r>
    </w:p>
    <w:p w14:paraId="6A5206F9" w14:textId="77777777" w:rsidR="0044290C" w:rsidRDefault="00000000">
      <w:pPr>
        <w:spacing w:after="11" w:line="259" w:lineRule="auto"/>
        <w:ind w:left="720" w:firstLine="0"/>
      </w:pPr>
      <w:r>
        <w:t xml:space="preserve">  </w:t>
      </w:r>
    </w:p>
    <w:p w14:paraId="67E26C26" w14:textId="77777777" w:rsidR="0044290C" w:rsidRDefault="00000000">
      <w:pPr>
        <w:ind w:left="-5"/>
      </w:pPr>
      <w:r>
        <w:t>Please monitor your inbox for further communications after October 16</w:t>
      </w:r>
      <w:r>
        <w:rPr>
          <w:vertAlign w:val="superscript"/>
        </w:rPr>
        <w:t>th</w:t>
      </w:r>
      <w:r>
        <w:t xml:space="preserve"> about how these changes impact your clients using </w:t>
      </w:r>
      <w:proofErr w:type="spellStart"/>
      <w:r>
        <w:t>NetClient</w:t>
      </w:r>
      <w:proofErr w:type="spellEnd"/>
      <w:r>
        <w:t xml:space="preserve"> CS. At that time a template e-mail will be provided as well as videos demonstrating the new sign-in experience. </w:t>
      </w:r>
    </w:p>
    <w:p w14:paraId="745BEB02" w14:textId="77777777" w:rsidR="0044290C" w:rsidRDefault="00000000">
      <w:pPr>
        <w:ind w:left="-5"/>
      </w:pPr>
      <w:r>
        <w:t xml:space="preserve">To stay up to date on the latest information regarding UltraTax CS and the CS Professional Suite, Virtual Office CS, Software-as-a-Service (SaaS), and </w:t>
      </w:r>
      <w:proofErr w:type="spellStart"/>
      <w:r>
        <w:t>NetClient</w:t>
      </w:r>
      <w:proofErr w:type="spellEnd"/>
      <w:r>
        <w:t xml:space="preserve"> CS, please </w:t>
      </w:r>
      <w:hyperlink r:id="rId27">
        <w:r>
          <w:rPr>
            <w:color w:val="4472C4"/>
            <w:u w:val="single" w:color="4472C4"/>
          </w:rPr>
          <w:t>start here</w:t>
        </w:r>
      </w:hyperlink>
      <w:hyperlink r:id="rId28">
        <w:r>
          <w:t>.</w:t>
        </w:r>
      </w:hyperlink>
      <w:r>
        <w:t xml:space="preserve"> </w:t>
      </w:r>
    </w:p>
    <w:p w14:paraId="05539993" w14:textId="77777777" w:rsidR="0044290C" w:rsidRDefault="00000000">
      <w:pPr>
        <w:ind w:left="-5"/>
      </w:pPr>
      <w:r>
        <w:t xml:space="preserve">To stay up to date on the latest information regarding GoFileRoom, AdvanceFlow and Checkpoint Engage, please </w:t>
      </w:r>
      <w:hyperlink r:id="rId29">
        <w:r>
          <w:rPr>
            <w:color w:val="4472C4"/>
            <w:u w:val="single" w:color="4472C4"/>
          </w:rPr>
          <w:t>start here</w:t>
        </w:r>
      </w:hyperlink>
      <w:hyperlink r:id="rId30">
        <w:r>
          <w:t>.</w:t>
        </w:r>
      </w:hyperlink>
      <w:r>
        <w:t xml:space="preserve"> </w:t>
      </w:r>
    </w:p>
    <w:p w14:paraId="73375AF7" w14:textId="77777777" w:rsidR="0044290C" w:rsidRDefault="00000000">
      <w:pPr>
        <w:spacing w:after="121"/>
        <w:ind w:left="-5"/>
      </w:pPr>
      <w:r>
        <w:t xml:space="preserve">Regards, </w:t>
      </w:r>
    </w:p>
    <w:p w14:paraId="60CF9980" w14:textId="77777777" w:rsidR="0044290C" w:rsidRDefault="00000000">
      <w:pPr>
        <w:spacing w:after="126"/>
        <w:ind w:left="-5"/>
      </w:pPr>
      <w:r>
        <w:t xml:space="preserve">Head of Product, Accounting, Tax &amp; Practice </w:t>
      </w:r>
    </w:p>
    <w:p w14:paraId="1740B0C0" w14:textId="77777777" w:rsidR="0044290C" w:rsidRDefault="00000000">
      <w:pPr>
        <w:spacing w:after="83"/>
        <w:ind w:left="-5"/>
      </w:pPr>
      <w:r>
        <w:t xml:space="preserve">Tax &amp; Accounting Professionals </w:t>
      </w:r>
    </w:p>
    <w:p w14:paraId="27C962C9" w14:textId="77777777" w:rsidR="0044290C" w:rsidRDefault="00000000">
      <w:pPr>
        <w:spacing w:after="0" w:line="259" w:lineRule="auto"/>
        <w:ind w:left="0" w:firstLine="0"/>
      </w:pPr>
      <w:r>
        <w:rPr>
          <w:rFonts w:ascii="Arial" w:eastAsia="Arial" w:hAnsi="Arial" w:cs="Arial"/>
          <w:color w:val="FA6401"/>
          <w:sz w:val="18"/>
        </w:rPr>
        <w:t>Thomson Reuters</w:t>
      </w:r>
      <w:r>
        <w:t xml:space="preserve"> </w:t>
      </w:r>
    </w:p>
    <w:sectPr w:rsidR="0044290C">
      <w:pgSz w:w="12240" w:h="15840"/>
      <w:pgMar w:top="1440" w:right="1100" w:bottom="144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A0DB6" w14:textId="77777777" w:rsidR="00DD7573" w:rsidRDefault="00DD7573" w:rsidP="00A16763">
      <w:pPr>
        <w:spacing w:after="0" w:line="240" w:lineRule="auto"/>
      </w:pPr>
      <w:r>
        <w:separator/>
      </w:r>
    </w:p>
  </w:endnote>
  <w:endnote w:type="continuationSeparator" w:id="0">
    <w:p w14:paraId="3D22C394" w14:textId="77777777" w:rsidR="00DD7573" w:rsidRDefault="00DD7573" w:rsidP="00A16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09B5" w14:textId="77777777" w:rsidR="00DD7573" w:rsidRDefault="00DD7573" w:rsidP="00A16763">
      <w:pPr>
        <w:spacing w:after="0" w:line="240" w:lineRule="auto"/>
      </w:pPr>
      <w:r>
        <w:separator/>
      </w:r>
    </w:p>
  </w:footnote>
  <w:footnote w:type="continuationSeparator" w:id="0">
    <w:p w14:paraId="712737B8" w14:textId="77777777" w:rsidR="00DD7573" w:rsidRDefault="00DD7573" w:rsidP="00A167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60F93"/>
    <w:multiLevelType w:val="hybridMultilevel"/>
    <w:tmpl w:val="5E381364"/>
    <w:lvl w:ilvl="0" w:tplc="25AEF936">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94EED5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6A4C19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0662B7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E0C7C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FCF08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27C6A4C">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2A67D5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EE40F4">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362437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ocumentProtection w:edit="readOnly" w:enforcement="1" w:cryptProviderType="rsaAES" w:cryptAlgorithmClass="hash" w:cryptAlgorithmType="typeAny" w:cryptAlgorithmSid="14" w:cryptSpinCount="100000" w:hash="oORpsyhLG2ys3j2cro9bw2BRog/avABbX/xf4JqAmHpQsFVsdsZJLS6cwW8hjI2hJXLTxJiCXEsTL5sJAUoE7Q==" w:salt="rBfyaTPEnxt52ZLQbuWiYg=="/>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290C"/>
    <w:rsid w:val="000746AB"/>
    <w:rsid w:val="00185AEF"/>
    <w:rsid w:val="0044290C"/>
    <w:rsid w:val="0063565E"/>
    <w:rsid w:val="00A16763"/>
    <w:rsid w:val="00DD75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46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4" w:line="255"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67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6763"/>
    <w:rPr>
      <w:rFonts w:ascii="Calibri" w:eastAsia="Calibri" w:hAnsi="Calibri" w:cs="Calibri"/>
      <w:color w:val="000000"/>
    </w:rPr>
  </w:style>
  <w:style w:type="paragraph" w:styleId="Footer">
    <w:name w:val="footer"/>
    <w:basedOn w:val="Normal"/>
    <w:link w:val="FooterChar"/>
    <w:uiPriority w:val="99"/>
    <w:unhideWhenUsed/>
    <w:rsid w:val="00A167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6763"/>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thomsonreuters.com/en-us/help/account-management/thomson-reuters-account/two-factor-authentication-thomson-reuters-account.html" TargetMode="External"/><Relationship Id="rId13" Type="http://schemas.openxmlformats.org/officeDocument/2006/relationships/hyperlink" Target="https://www.thomsonreuters.com/en-us/help/account-management/thomson-reuters-account/two-factor-authentication-thomson-reuters-account.html" TargetMode="External"/><Relationship Id="rId18" Type="http://schemas.openxmlformats.org/officeDocument/2006/relationships/hyperlink" Target="https://www.thomsonreuters.com/en-us/help/account-management/thomson-reuters-account/two-factor-authentication-thomson-reuters-account.html" TargetMode="External"/><Relationship Id="rId26" Type="http://schemas.openxmlformats.org/officeDocument/2006/relationships/hyperlink" Target="https://www.thomsonreuters.com/en-us/profile/about" TargetMode="External"/><Relationship Id="rId3" Type="http://schemas.openxmlformats.org/officeDocument/2006/relationships/settings" Target="settings.xml"/><Relationship Id="rId21" Type="http://schemas.openxmlformats.org/officeDocument/2006/relationships/hyperlink" Target="https://www.thomsonreuters.com/en-us/profile/about" TargetMode="External"/><Relationship Id="rId7" Type="http://schemas.openxmlformats.org/officeDocument/2006/relationships/hyperlink" Target="https://www.thomsonreuters.com/en-us/help/account-management/thomson-reuters-account/two-factor-authentication-thomson-reuters-account.html" TargetMode="External"/><Relationship Id="rId12" Type="http://schemas.openxmlformats.org/officeDocument/2006/relationships/hyperlink" Target="https://www.thomsonreuters.com/en-us/help/account-management/thomson-reuters-account/two-factor-authentication-thomson-reuters-account.html" TargetMode="External"/><Relationship Id="rId17" Type="http://schemas.openxmlformats.org/officeDocument/2006/relationships/hyperlink" Target="https://www.thomsonreuters.com/en-us/help/account-management/thomson-reuters-account/two-factor-authentication-thomson-reuters-account.html" TargetMode="External"/><Relationship Id="rId25" Type="http://schemas.openxmlformats.org/officeDocument/2006/relationships/hyperlink" Target="https://www.thomsonreuters.com/en-us/profile/about" TargetMode="External"/><Relationship Id="rId2" Type="http://schemas.openxmlformats.org/officeDocument/2006/relationships/styles" Target="styles.xml"/><Relationship Id="rId16" Type="http://schemas.openxmlformats.org/officeDocument/2006/relationships/hyperlink" Target="https://www.thomsonreuters.com/en-us/help/account-management/thomson-reuters-account/two-factor-authentication-thomson-reuters-account.html" TargetMode="External"/><Relationship Id="rId20" Type="http://schemas.openxmlformats.org/officeDocument/2006/relationships/hyperlink" Target="https://auth0.com/customers/" TargetMode="External"/><Relationship Id="rId29" Type="http://schemas.openxmlformats.org/officeDocument/2006/relationships/hyperlink" Target="https://www.thomsonreuters.com/en-us/help/gofileroom/security/prepare-for-upgrade-to-tr-account.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homsonreuters.com/en-us/help/account-management/thomson-reuters-account/two-factor-authentication-thomson-reuters-account.html" TargetMode="External"/><Relationship Id="rId24" Type="http://schemas.openxmlformats.org/officeDocument/2006/relationships/hyperlink" Target="https://www.thomsonreuters.com/en-us/profile/about"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thomsonreuters.com/en-us/help/account-management/thomson-reuters-account/two-factor-authentication-thomson-reuters-account.html" TargetMode="External"/><Relationship Id="rId23" Type="http://schemas.openxmlformats.org/officeDocument/2006/relationships/hyperlink" Target="https://www.thomsonreuters.com/en-us/profile/about" TargetMode="External"/><Relationship Id="rId28" Type="http://schemas.openxmlformats.org/officeDocument/2006/relationships/hyperlink" Target="https://www.thomsonreuters.com/en-us/help/account-management/thomson-reuters-account-upgrade.html" TargetMode="External"/><Relationship Id="rId10" Type="http://schemas.openxmlformats.org/officeDocument/2006/relationships/hyperlink" Target="https://www.thomsonreuters.com/en-us/help/account-management/thomson-reuters-account/two-factor-authentication-thomson-reuters-account.html" TargetMode="External"/><Relationship Id="rId19" Type="http://schemas.openxmlformats.org/officeDocument/2006/relationships/hyperlink" Target="https://auth0.com/customer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omsonreuters.com/en-us/help/account-management/thomson-reuters-account/two-factor-authentication-thomson-reuters-account.html" TargetMode="External"/><Relationship Id="rId14" Type="http://schemas.openxmlformats.org/officeDocument/2006/relationships/hyperlink" Target="https://www.thomsonreuters.com/en-us/help/account-management/thomson-reuters-account/two-factor-authentication-thomson-reuters-account.html" TargetMode="External"/><Relationship Id="rId22" Type="http://schemas.openxmlformats.org/officeDocument/2006/relationships/hyperlink" Target="https://www.thomsonreuters.com/en-us/profile/about" TargetMode="External"/><Relationship Id="rId27" Type="http://schemas.openxmlformats.org/officeDocument/2006/relationships/hyperlink" Target="https://www.thomsonreuters.com/en-us/help/account-management/thomson-reuters-account-upgrade.html" TargetMode="External"/><Relationship Id="rId30" Type="http://schemas.openxmlformats.org/officeDocument/2006/relationships/hyperlink" Target="https://www.thomsonreuters.com/en-us/help/gofileroom/security/prepare-for-upgrade-to-tr-accou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Words>
  <Characters>4472</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2023-10-18T18:12:00Z</dcterms:created>
  <dcterms:modified xsi:type="dcterms:W3CDTF">2023-10-18T18:14:00Z</dcterms:modified>
</cp:coreProperties>
</file>